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f4"/>
        <w:tblpPr w:bottomFromText="0" w:horzAnchor="margin" w:leftFromText="180" w:rightFromText="180" w:tblpX="108" w:tblpY="1171" w:topFromText="0" w:vertAnchor="page"/>
        <w:tblW w:w="14601" w:type="dxa"/>
        <w:jc w:val="left"/>
        <w:tblInd w:w="108" w:type="dxa"/>
        <w:tblCellMar>
          <w:top w:w="55" w:type="dxa"/>
          <w:left w:w="108" w:type="dxa"/>
          <w:bottom w:w="55" w:type="dxa"/>
          <w:right w:w="108" w:type="dxa"/>
        </w:tblCellMar>
        <w:tblLook w:val="04a0"/>
      </w:tblPr>
      <w:tblGrid>
        <w:gridCol w:w="12190"/>
        <w:gridCol w:w="2410"/>
      </w:tblGrid>
      <w:tr>
        <w:trPr>
          <w:trHeight w:val="114" w:hRule="atLeast"/>
        </w:trPr>
        <w:tc>
          <w:tcPr>
            <w:tcW w:w="121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43"/>
              <w:shd w:val="clear" w:color="auto" w:fill="auto"/>
              <w:spacing w:lineRule="auto" w:line="240" w:before="0" w:after="0"/>
              <w:contextualSpacing/>
              <w:rPr>
                <w:color w:val="000000"/>
                <w:sz w:val="28"/>
                <w:szCs w:val="28"/>
                <w:lang w:val="ru-RU" w:eastAsia="ru-RU" w:bidi="ru-RU"/>
              </w:rPr>
            </w:pPr>
            <w:r>
              <w:rPr>
                <w:color w:val="000000"/>
                <w:sz w:val="28"/>
                <w:szCs w:val="28"/>
                <w:lang w:val="ru-RU" w:eastAsia="ru-RU" w:bidi="ru-RU"/>
              </w:rPr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43"/>
              <w:shd w:val="clear" w:color="auto" w:fill="auto"/>
              <w:spacing w:lineRule="auto" w:line="240" w:before="0" w:after="0"/>
              <w:contextualSpacing/>
              <w:rPr>
                <w:b w:val="false"/>
                <w:b w:val="false"/>
                <w:color w:val="000000"/>
                <w:sz w:val="22"/>
                <w:szCs w:val="22"/>
                <w:lang w:val="ru-RU" w:eastAsia="ru-RU" w:bidi="ru-RU"/>
              </w:rPr>
            </w:pPr>
            <w:r>
              <w:rPr>
                <w:b w:val="false"/>
                <w:color w:val="000000"/>
                <w:sz w:val="22"/>
                <w:szCs w:val="22"/>
                <w:lang w:val="ru-RU" w:eastAsia="ru-RU" w:bidi="ru-RU"/>
              </w:rPr>
              <w:t>Приложение  № _</w:t>
            </w:r>
            <w:r>
              <w:rPr>
                <w:b w:val="false"/>
                <w:color w:val="000000"/>
                <w:sz w:val="22"/>
                <w:szCs w:val="22"/>
                <w:u w:val="single"/>
                <w:lang w:val="ru-RU" w:eastAsia="ru-RU" w:bidi="ru-RU"/>
              </w:rPr>
              <w:t xml:space="preserve">1  </w:t>
            </w:r>
          </w:p>
          <w:p>
            <w:pPr>
              <w:pStyle w:val="43"/>
              <w:shd w:val="clear" w:color="auto" w:fill="auto"/>
              <w:spacing w:lineRule="auto" w:line="240" w:before="0" w:after="0"/>
              <w:contextualSpacing/>
              <w:rPr>
                <w:b w:val="false"/>
                <w:b w:val="false"/>
                <w:color w:val="000000"/>
                <w:sz w:val="22"/>
                <w:szCs w:val="22"/>
                <w:lang w:val="ru-RU" w:eastAsia="ru-RU" w:bidi="ru-RU"/>
              </w:rPr>
            </w:pPr>
            <w:r>
              <w:rPr>
                <w:b w:val="false"/>
                <w:color w:val="000000"/>
                <w:sz w:val="22"/>
                <w:szCs w:val="22"/>
                <w:u w:val="single"/>
                <w:lang w:val="ru-RU" w:eastAsia="ru-RU" w:bidi="ru-RU"/>
              </w:rPr>
              <w:t>к письму от 09.12.2022 № 24/3.4-23243</w:t>
            </w:r>
          </w:p>
        </w:tc>
      </w:tr>
    </w:tbl>
    <w:p>
      <w:pPr>
        <w:pStyle w:val="43"/>
        <w:shd w:val="clear" w:color="auto" w:fill="auto"/>
        <w:spacing w:lineRule="auto" w:line="240" w:before="0" w:after="0"/>
        <w:contextualSpacing/>
        <w:rPr>
          <w:sz w:val="24"/>
          <w:szCs w:val="24"/>
        </w:rPr>
      </w:pPr>
      <w:r>
        <w:rPr>
          <w:color w:val="000000"/>
          <w:sz w:val="24"/>
          <w:szCs w:val="24"/>
          <w:lang w:val="ru-RU" w:eastAsia="ru-RU" w:bidi="ru-RU"/>
        </w:rPr>
        <w:t>План мероприятий по противодействию коррупции</w:t>
        <w:br/>
        <w:t>в ГБПОУ РО ПУ № 50 на 2022 год</w:t>
      </w:r>
    </w:p>
    <w:tbl>
      <w:tblPr>
        <w:tblStyle w:val="af4"/>
        <w:tblW w:w="14910" w:type="dxa"/>
        <w:jc w:val="left"/>
        <w:tblInd w:w="-2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36"/>
        <w:gridCol w:w="6113"/>
        <w:gridCol w:w="2210"/>
        <w:gridCol w:w="3911"/>
        <w:gridCol w:w="2040"/>
      </w:tblGrid>
      <w:tr>
        <w:trPr/>
        <w:tc>
          <w:tcPr>
            <w:tcW w:w="636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№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п/п</w:t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Наименование мероприятия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Срок исполнения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 xml:space="preserve">Ответственный исполнитель 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Отметка об исполнении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4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ascii="PT Serif Caption" w:hAnsi="PT Serif Caption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12870" w:type="dxa"/>
            <w:gridSpan w:val="4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1. Организационное обеспечение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Обеспечение на регулярной основе деятельности комиссии по противодействию коррупции в ГБПОУ РО ПУ № 50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Деятельность  комиссии по противодействию коррупции осуществляется в соответствии с Антикоррупционной политикой учреждения и планом работы по противодействию коррупции. Произведен анализ выполнения плана за 2021г., разработан и утвержден план на 2022г., в отчетном периоде проведено 4 заседания комиссии, рассмотрен  отчет о выполнении плана мероприятий за 2022г., произведен мониторинг изменений действующего законодательства, экспертиза локальных актов, разработаны и внесены изменения в антикоррупционную политику учреждения.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Обеспечение работы комиссии по соблюдению требований к служебному поведению в ГБПОУ РО ПУ № 50 и урегулированию конфликта интересов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Председатель комиссии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противодействию коррупции в ГБПОУ РО ПУ № 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Проведено  2 заседания комиссии по соблюдению требований к служебному поведению и урегулированию конфликта интересов. Рассмотрен вопрос о  конфликте интересов работы в должности заместителя директора по АХ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Р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Анализ выполнения «Плана мероприятий по противодействию коррупции в ГБПОУ РО ПУ № 50 на 2021 год»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ежегодно,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до 1 февраля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Председатель комиссии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противодействию коррупции в ГБПОУ РО ПУ № 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Комиссией по противодействию коррупции в учреждении на заседании проведен анализ выполнения Плана мероприятий по противодействию коррупции за 2022г., сформированы выводы, даны рекомендации.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Ведение учета обращений граждан и юридических лиц на предмет наличия в них информации о фактах коррупции со стороны работников учреждения, осуществление анализа указанных обращений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профилактику коррупционных и иных правонарушений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Обращения граждан и юридических лиц на предмет наличия в них информации о фактах коррупции со стороны работников учреждения за отчетный период не поступало.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Ведение на официальном сайте учреждения раздела «Противодействие коррупции»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ведение сайта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napToGrid w:val="false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Информация, размещенная на официальном сайте минобразования Ростовской области </w:t>
              <w:br/>
              <w:t xml:space="preserve">в разделе «Противодействие коррупции», </w:t>
              <w:br/>
              <w:t>в соответствии с требованиями, утвержденными приказом от 07.10.2013 №530н, своевременно актуализируется.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Актуализация информации на стенде о структуре учреждения, адресах и телефонах вышестоящих инстанций, перечня государственных услуг, предоставляемых учреждением, о времени приема руководством, контактных телефонах горячих линий, мини-плакатов социальной рекламы, направленной на профилактику коррупционного поведения, а также информации об адресах и телефонах, по которым можно сообщить о фактах коррупции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Ответственный 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Актуализация информации о противодействии коррупции исполняется в соответствии с  Антикоррупционной политикой учреждения  по мере необходимости и обновляется в соответствии с законодательством РФ.</w:t>
            </w:r>
          </w:p>
        </w:tc>
      </w:tr>
      <w:tr>
        <w:trPr>
          <w:trHeight w:val="564" w:hRule="atLeast"/>
        </w:trPr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Использование единой системы оценки качества воспитания и обучения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Заместитель директора по УПР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Исполнено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Обеспечение взаимодействия со средствами массовой информации по вопросам противодействия коррупции 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Директор,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ответственный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ConsPlusNormal"/>
              <w:spacing w:lineRule="auto" w:line="228" w:before="0" w:after="0"/>
              <w:ind w:hanging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На официальном сайте в информационно-телекоммуникационной сети «Интернет»</w:t>
              <w:br/>
              <w:t>в разделе «Противодействие коррупции» размещена информация об антикоррупционном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просвещении граждан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Ежегодное рассмотрение на заседании комиссии по противодействию коррупции в ГБПОУ РО ПУ № 50 отчета о выполнении плана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ежегодно,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до 1 февраля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Председатель комиссии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противодействию коррупции в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На заседании комиссии по противодействию коррупции в декабре 2022г. Рассмотрен отчет о выполнении плана мероприятий.  Результаты выполнения плана зафиксированы в отчете за период 2022 года.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Ежегодное размещение отчета о выполнении плана в информационно - телекоммуникационной сети «Интернет» на официальном сайте ГБПОУ РО ПУ № 50 в разделе «Противодействие коррупции»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ежегодно,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до 1 февраля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ведение сайта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napToGrid w:val="false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Отчёт о реализации Плана мероприятий по противодействию коррупции в сфере образования Ростовской области за 2022 год размещается на официальном сайте минобразования Ростовской области в разделе «Противодействие коррупции» в установленные законодательством сроки.</w:t>
            </w:r>
          </w:p>
        </w:tc>
      </w:tr>
      <w:tr>
        <w:trPr/>
        <w:tc>
          <w:tcPr>
            <w:tcW w:w="12870" w:type="dxa"/>
            <w:gridSpan w:val="4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2. Контроль соблюдения законодательства  в области противодействия коррупции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Мониторинг антикоррупционного законодательства и приведение локальных нормативных актов ГБПОУ РО ПУ № 50 в соответствие с федеральными законами, иными нормативными правовыми актами Российской Федерации, нормативными правовыми актами Ростовской области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Комиссия по противодействию коррупции в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Комиссией по противодействию коррупции проведено 3 мониторинга  антикоррупционного законодательства, на основании которых внесены изменения локальных актов учреждения от 07.09.2022г.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Проведение антикоррупционной экспертизы локальных актов и их проектов, разрабатываемых учреждением, обеспечивающей противодействие коррупции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ежеквартально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Комиссия по противодействию коррупции в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За период 2022 года в учреждении проведено 2 антикоррупционной экспертизы локальных актов и их проектов, разрабатываемых учреждением, обеспечивающей противодействие коррупции., результаты зафиксированы в протоколах. По результатам экспертизы коррупционных факторов, </w:t>
              <w:br/>
              <w:t>не выявлено.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Подготовка проектов и внесение изменений и дополнений в действующие локальные акты по результатам антикоррупционной экспертизы, с целью устранения коррупционных факторов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с момента выявления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Комиссия по противодействию коррупции в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Подготовлен проект и внесены изменения в действующие  локальные акты по результатам антикоррупционной экспертизы, в связи с изменением законодательства срок утверждения и введение в действие до 07.09.2022г. По результатам экспертизы  коррупционных факторов, </w:t>
              <w:br/>
              <w:t>не выявлено.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Соблюдение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Директор,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главный бухгалтер, заместитель директора по АХЧ, специалист по закупкам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Контроль за соблюдением Федерального закона осуществляется закрепленными должностными лицами 1 раз в квартал. Соблюдение законодательства </w:t>
            </w:r>
            <w:r>
              <w:rPr>
                <w:rFonts w:cs="Times New Roman" w:ascii="Times New Roman" w:hAnsi="Times New Roman"/>
                <w:color w:val="000000"/>
                <w:spacing w:val="3"/>
                <w:sz w:val="20"/>
                <w:szCs w:val="20"/>
                <w:lang w:bidi="ru-RU"/>
              </w:rPr>
              <w:t>обеспечивается путем публикации закупок конкурентными способами на официальн</w:t>
            </w: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  <w:lang w:bidi="ru-RU"/>
              </w:rPr>
              <w:t xml:space="preserve">ом сайте </w:t>
            </w:r>
            <w:r>
              <w:rPr>
                <w:rFonts w:cs="Times New Roman" w:ascii="Times New Roman" w:hAnsi="Times New Roman"/>
                <w:color w:val="000000"/>
                <w:spacing w:val="3"/>
                <w:sz w:val="20"/>
                <w:szCs w:val="20"/>
                <w:lang w:bidi="ru-RU"/>
              </w:rPr>
              <w:t>Единой информационной системы в сфере закупок, а закупок малого объема у единственного поставщика (подрядчика, исполнителя) на Портале закупок малого объема Ростовской области, предусматривающего получение заявок на закупки малого объема от неограниченного круга участников рынка.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Проведение мониторинга цен на товары, работы, услуги при подготовке заявок на размещение заказов для государственных нужд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Специалист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закупкам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Исполняется в соответствии с законодательством РФ перед осуществлением каждой процедуры закупки.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Обеспечение взаимодействия с правоохранительными органами по вопросам борьбы с коррупцией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Директор,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ответственный 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Проведены 2 занятия с работниками училища, представителями правоохранительными органами по вопросам борьбы с коррупцией. Обращений в правоохранительные органы по  коррупционным фактам совершения нарушений работниками учреждения не зарегистрировано.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Рассмотрение в соответствии с действующим законодательством обращений граждан, содержащих сведения о коррупции по вопросам, находящихся в компетенции учреждения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мере поступления обращений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Комиссия по противодействию коррупции в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данным вопросам обращений не поступало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Участие директора и ответственного за профилактику коррупционных и иных правонарушений в семинарах и мероприятиях по вопросам  противодействия коррупции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Директор,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за Антикоррупционную политику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Руководитель и работник  приняли участие в  обучающих семинарах по актуальным вопросам положений антикоррупционного законодательства (04.02.2022, 29.11.2022)</w:t>
            </w:r>
          </w:p>
        </w:tc>
      </w:tr>
      <w:tr>
        <w:trPr/>
        <w:tc>
          <w:tcPr>
            <w:tcW w:w="12870" w:type="dxa"/>
            <w:gridSpan w:val="4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3. Антикоррупционное просвещение, образование и пропаганда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Проведение разъяснительной работы с работниками учреждения: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- по положениям законодательства РФ о противодействии коррупции. В том числе об установлении наказания за получение и дачу взятки;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- о недопустимости принятия подарков в связи с их должностным положением;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- о недопущении поведения, которое может восприниматься окружающими как обещание или предложение дачи взятки либо как согласие принять взятки или как просьба о даче взятки;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- о необходимости уведомлять своего непосредственного начальника о возникшем конфликте интересов или возможности его возникновения, как только об этом станет известно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Исполнено в соответствии с планом занятий с работниками учреждения по противодействию коррупции. Проведено за отчетный период 12 обучающих занятий, включающие в себя проведение разъяснительную работу.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мере необходимости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Зарегистрировано в журнале и проведено 7 индивидуальных консультаций сотрудников.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Информирование трудового коллектива о выявленных фактах коррупции среди сотрудников учреждения и мерах, принятых в целях исключения подобных фактов в дальнейшей практике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Факты о совершении коррупционных правонарушений среди сотрудников учреждения не выявлены. 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Проведение собрания трудового коллектива, посвященному 9 декабря - Международному дню борьбы с коррупцией: «Вместе против коррупции» - обсуждение проблемы коррупции среди работников организации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ежегодно,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до 9 декабря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Ответственный за Антикоррупционную политику  ГБПОУ РО ПУ № 50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Исполнено  в соответствии с планом проведения мероприятий  посвященному  Международному дню борьбы с коррупцией. Выставка в библиотеке “Коррупция в произведениях”, час правовой информации, конкурс мини плакатов на антикоррупионную тематику, класснй час “Право, Закон, Совесть”, информационная минутка – ознакомление родителей обучающихся с антикоррупционной политикой ПУ № 50 посредством мессенджеров и сети интернет, круглый стол “Живой разговор”.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Организация повышения квалификации директора и ответственного за профилактику коррупционных и иных правонарушений по программам противодействия коррупции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Директор,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за Антикоррупционную политику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Не требуется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Ознакомление работников учреждения с правовыми актами, регламентирующими вопросы противодействия коррупции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>ежегодно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за Антикоррупционную политику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Ознакомление работников учреждения с правовыми актами, регламентирующими вопросы противодействия коррупции осуществляется при приеме на работу с фиксацией в журнале ознакомления, на обучающих занятиях (12 занятий), при оказании индивидуальных консультаций (7 консультаций). </w:t>
            </w:r>
          </w:p>
        </w:tc>
      </w:tr>
      <w:tr>
        <w:trPr/>
        <w:tc>
          <w:tcPr>
            <w:tcW w:w="12870" w:type="dxa"/>
            <w:gridSpan w:val="4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4. Реализация мероприятий по усилению антикоррупционной деятельности в учреждении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Рассмотрение вопросов исполнения законодательства в области противодействия коррупции на общих собраниях трудового коллектива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Проведено 4 общих собрания трудового коллектива по  </w:t>
            </w:r>
            <w:r>
              <w:rPr>
                <w:rStyle w:val="211pt"/>
                <w:rFonts w:eastAsia="" w:eastAsiaTheme="minorEastAsia"/>
                <w:sz w:val="20"/>
                <w:szCs w:val="20"/>
              </w:rPr>
              <w:t>вопросов исполнения законодательства в области противодействия коррупции (1 раз в квартал).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Использование формы договора, заключаемого для нужд учреждения, содержащего антикоррупционную оговорку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Специалист по закупкам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Используется установленная форма в соответствии с законодательством РФ.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Размещение на сайте учреждения информации о реализации мер по противодействию коррупции в учреждении, о принятых правовых актах по вопросам противодействия коррупции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ведение сайта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Исполняется по мере необходимости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Анализ оценки эффективности принимаемых в учреждении мер по противодействию коррупции, разработка предложений, подлежащих учету при формировании плана противодействия коррупции на очередной год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ежегодно,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до 1 февраля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Комиссия по противодействию коррупции в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Анализ оценки эффективности принимаемых в учреждении мер по противодействию коррупции, разработка предложений, подлежащих учету при формировании плана противодействия коррупции на очередной год проводится в строго установленные законом сроки.</w:t>
            </w:r>
          </w:p>
        </w:tc>
      </w:tr>
      <w:tr>
        <w:trPr/>
        <w:tc>
          <w:tcPr>
            <w:tcW w:w="12870" w:type="dxa"/>
            <w:gridSpan w:val="4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5. Разработка системы мер, направленных на совершенствование осуществления руководства в учреждении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Проведение оценки должностных обязанностей работников, исполнение которых в наибольшей мере подвержено риску коррупционных проявлений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Комиссия по противодействию коррупции в ГБПОУ РО ПУ № 50, инспектор по кадрам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Исполнено в соответствии с приказом от 26.09.2022 № 228 «Об утверждении локальных нормативных актов по оценке коррупционных рисков в ГБПОУ РО ПУ № 50»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Усиление персональной ответственности работников за неправомерно принятые решения в рамках служебных полномочий и за другие проявления бюрократизма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Регламентируется  Антикоррупционной политикой  ГБПОУ РО ПУ № 50 и законодательством РФ.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Ежегодное рассмотрение вопросов исполнения  законодательства о борьбе с коррупцией на заседаниях Комиссии по противодействию коррупции в ГБПОУ РО ПУ № 50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bidi="ru-RU"/>
              </w:rPr>
              <w:t xml:space="preserve">в течение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2022 г.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Проведено (1 раз в квартал), 4 заседания комиссии по вопросам исполнения законодательства о борьбе с коррупцией. 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Предоставление директором сведений о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своего супруга (супруги) и несовершеннолетних детей 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в порядке и сроки, установленные действующим законодательством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Исполняется в порядке и сроки, установленные действующим законодательством</w:t>
            </w:r>
          </w:p>
        </w:tc>
      </w:tr>
      <w:tr>
        <w:trPr/>
        <w:tc>
          <w:tcPr>
            <w:tcW w:w="12870" w:type="dxa"/>
            <w:gridSpan w:val="4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  <w:t>6. Осуществление контрольных функций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  <w:lang w:bidi="ru-RU"/>
              </w:rPr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Принятие мер по урегулированию конфликта интересов: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 xml:space="preserve">по совершенствованию регламентации деятельности;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 xml:space="preserve">по усилению контроля за исполнением работниками профессиональной деятельности, в ходе которой может возникнуть конфликт интересов; 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по исключению возможности принятия руководителем единоличных решений по вопросам, с которыми связан конфликт интересов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Комиссия по противодействию коррупции в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Проведено 2 заседания комиссии по урегулированию конфликта интересов среди работников учреждения.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Усиление контроля за недопущением фактов неправомерного взимания денежных средств с родителей (законных представителей) в учреждении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Директор,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ответственный 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Проведено 4 профилактические беседы с работниками учреждения в целях усиления контроля за исполнением должностных обязанностей и недопущения совершения коррупционных правонарушений.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Осуществление контроля над соблюдением действующего законодательства в части оказания платных дополнительных образовательных услуг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Проведено 4 профилактические беседы с работниками учреждения в целях усиления контроля за исполнением должностных обязанностей и недопущения совершения коррупционных правонарушений.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Обеспечение контроля, над использованием средств областного бюджета, государственного имущества, финансово-хозяйственной деятельностью, в том числе: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- законности формирования и расходования бюджетных средств;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- распределения стимулирующей части фонда оплаты труда: прозрачность распределения стимулирующей части фонда оплаты труда, корректировка оценочных листов эффективности деятельности работников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заместитель директора по АХЧ, главный бухгалтер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Контроль осуществляется приемочной комиссией, аттестационной комиссией 1 раз в квартал.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Анализ и контроль устранения обоснованных жалоб и замечаний родителей (законных представителей) получателей образовательных  услуг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мере поступления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Директор, ответственный за Антикоррупционную политику  ГБПОУ РО ПУ № 50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Жалоб  и замечаний со стороны родителей (законных представителей не поступало)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Обеспечение систематического контроля над выполнением условий государственных контрактов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Осуществляется приемочной комиссией в соответствии с условиями контракта.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Осуществление контроля над целевым использованием бюджетных средств в соответствии с государственными контрактами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главный бухгалтер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Проведено 4 проверки деятельности заинтересованных сотрудников </w:t>
            </w:r>
            <w:r>
              <w:rPr>
                <w:rStyle w:val="211pt"/>
                <w:rFonts w:eastAsia="" w:eastAsiaTheme="minorEastAsia"/>
                <w:sz w:val="20"/>
                <w:szCs w:val="20"/>
              </w:rPr>
              <w:t xml:space="preserve"> над целевым использованием бюджетных средств в соответствии с государственными контрактами.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Организация систематического контроля над выполнением актов выполненных работ по проведению ремонта в учреждении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Директор,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заместитель директора по АХЧ, главный бухгалтер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Контроль осуществляется приемочной комиссией в соответствии с законодательством РФ и условиями контрактов.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Привлечение к дисциплинарной ответственности работников учреждения, не принимающих должных мер по обеспечению исполнения антикоррупционного законодательства, соблюдения Кодекса профессиональной этики и антикоррупционного поведения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 мере возникновения</w:t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Директор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Привлечений к дисциплинарной ответственности работников не зарегистрировано. </w:t>
            </w:r>
          </w:p>
        </w:tc>
      </w:tr>
      <w:tr>
        <w:trPr/>
        <w:tc>
          <w:tcPr>
            <w:tcW w:w="63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</w:r>
          </w:p>
        </w:tc>
        <w:tc>
          <w:tcPr>
            <w:tcW w:w="611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Style w:val="211pt"/>
                <w:rFonts w:eastAsia="" w:eastAsiaTheme="minorEastAsia"/>
                <w:sz w:val="20"/>
                <w:szCs w:val="20"/>
              </w:rPr>
              <w:t>Организация эффективного контроля за соблюдением законодательства о защите персональных данных сотрудников и клиентов учреждения</w:t>
            </w:r>
          </w:p>
        </w:tc>
        <w:tc>
          <w:tcPr>
            <w:tcW w:w="221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Постоянно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911" w:type="dxa"/>
            <w:tcBorders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Ответственный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>за обеспечение безопасности персональных данных</w:t>
            </w:r>
          </w:p>
        </w:tc>
        <w:tc>
          <w:tcPr>
            <w:tcW w:w="2040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bidi="ru-RU"/>
              </w:rPr>
              <w:t xml:space="preserve">Организовано фактическое взаимодействие между подразделениями учреждения, ответственными лицами в целях осуществления эффективного контроля </w:t>
            </w:r>
            <w:r>
              <w:rPr>
                <w:rStyle w:val="211pt"/>
                <w:rFonts w:eastAsia="" w:eastAsiaTheme="minorEastAsia"/>
                <w:sz w:val="20"/>
                <w:szCs w:val="20"/>
              </w:rPr>
              <w:t>за соблюдением законодательства о защите персональных данных сотрудников и клиентов учреждения</w:t>
            </w:r>
            <w:r>
              <w:rPr>
                <w:rStyle w:val="211pt"/>
                <w:rFonts w:eastAsia="" w:cs="Times New Roman" w:ascii="Times New Roman" w:hAnsi="Times New Roman"/>
                <w:color w:val="000000"/>
                <w:sz w:val="20"/>
                <w:szCs w:val="20"/>
                <w:lang w:bidi="ru-RU"/>
              </w:rPr>
              <w:t>.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ind w:hanging="0"/>
        <w:jc w:val="left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header="270" w:top="1059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PT Serif Captio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suppressLineNumbers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1.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decimal"/>
      <w:lvlText w:val="4.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>
    <w:lvl w:ilvl="0">
      <w:start w:val="1"/>
      <w:numFmt w:val="decimal"/>
      <w:lvlText w:val="2.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4">
    <w:lvl w:ilvl="0">
      <w:start w:val="1"/>
      <w:numFmt w:val="decimal"/>
      <w:lvlText w:val="3.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>
    <w:lvl w:ilvl="0">
      <w:start w:val="1"/>
      <w:numFmt w:val="decimal"/>
      <w:lvlText w:val="5.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>
    <w:lvl w:ilvl="0">
      <w:start w:val="1"/>
      <w:numFmt w:val="decimal"/>
      <w:lvlText w:val="6.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4788a"/>
    <w:pPr>
      <w:widowControl/>
      <w:suppressAutoHyphens w:val="true"/>
      <w:bidi w:val="0"/>
      <w:spacing w:lineRule="auto" w:line="276" w:before="0" w:after="200"/>
      <w:ind w:hanging="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"/>
    <w:qFormat/>
    <w:rsid w:val="00ac4ae8"/>
    <w:pPr>
      <w:spacing w:lineRule="auto" w:line="360" w:before="60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32"/>
      <w:szCs w:val="32"/>
      <w:lang w:val="en-US" w:eastAsia="en-US" w:bidi="en-US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c4ae8"/>
    <w:pPr>
      <w:spacing w:lineRule="auto" w:line="360" w:before="32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ac4ae8"/>
    <w:pPr>
      <w:spacing w:lineRule="auto" w:line="360" w:before="32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6"/>
      <w:szCs w:val="26"/>
      <w:lang w:val="en-US" w:eastAsia="en-US" w:bidi="en-US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ac4ae8"/>
    <w:pPr>
      <w:spacing w:lineRule="auto" w:line="360" w:before="28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4"/>
      <w:szCs w:val="24"/>
      <w:lang w:val="en-US" w:eastAsia="en-US" w:bidi="en-US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c4ae8"/>
    <w:pPr>
      <w:spacing w:lineRule="auto" w:line="360" w:before="280" w:after="0"/>
      <w:outlineLvl w:val="4"/>
    </w:pPr>
    <w:rPr>
      <w:rFonts w:ascii="Cambria" w:hAnsi="Cambria" w:eastAsia="" w:cs="" w:asciiTheme="majorHAnsi" w:cstheme="majorBidi" w:eastAsiaTheme="majorEastAsia" w:hAnsiTheme="majorHAnsi"/>
      <w:b/>
      <w:bCs/>
      <w:i/>
      <w:iCs/>
      <w:lang w:val="en-US" w:eastAsia="en-US" w:bidi="en-US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ac4ae8"/>
    <w:pPr>
      <w:spacing w:lineRule="auto" w:line="360" w:before="280" w:after="80"/>
      <w:outlineLvl w:val="5"/>
    </w:pPr>
    <w:rPr>
      <w:rFonts w:ascii="Cambria" w:hAnsi="Cambria" w:eastAsia="" w:cs="" w:asciiTheme="majorHAnsi" w:cstheme="majorBidi" w:eastAsiaTheme="majorEastAsia" w:hAnsiTheme="majorHAnsi"/>
      <w:b/>
      <w:bCs/>
      <w:i/>
      <w:iCs/>
      <w:lang w:val="en-US" w:eastAsia="en-US" w:bidi="en-US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ac4ae8"/>
    <w:pPr>
      <w:spacing w:lineRule="auto" w:line="360" w:before="280" w:after="0"/>
      <w:outlineLvl w:val="6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0"/>
      <w:szCs w:val="20"/>
      <w:lang w:val="en-US" w:eastAsia="en-US" w:bidi="en-US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ac4ae8"/>
    <w:pPr>
      <w:spacing w:lineRule="auto" w:line="360" w:before="280" w:after="0"/>
      <w:outlineLvl w:val="7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18"/>
      <w:szCs w:val="18"/>
      <w:lang w:val="en-US" w:eastAsia="en-US" w:bidi="en-US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ac4ae8"/>
    <w:pPr>
      <w:spacing w:lineRule="auto" w:line="360" w:before="28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sz w:val="18"/>
      <w:szCs w:val="18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  <w:sz w:val="26"/>
      <w:szCs w:val="26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  <w:sz w:val="24"/>
      <w:szCs w:val="24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  <w:sz w:val="20"/>
      <w:szCs w:val="20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  <w:sz w:val="18"/>
      <w:szCs w:val="1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ac4ae8"/>
    <w:rPr>
      <w:rFonts w:ascii="Cambria" w:hAnsi="Cambria" w:eastAsia="" w:cs="" w:asciiTheme="majorHAnsi" w:cstheme="majorBidi" w:eastAsiaTheme="majorEastAsia" w:hAnsiTheme="majorHAnsi"/>
      <w:i/>
      <w:iCs/>
      <w:sz w:val="18"/>
      <w:szCs w:val="18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i/>
      <w:iCs/>
      <w:spacing w:val="10"/>
      <w:sz w:val="60"/>
      <w:szCs w:val="60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ac4ae8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ac4ae8"/>
    <w:rPr>
      <w:b/>
      <w:bCs/>
      <w:spacing w:val="0"/>
    </w:rPr>
  </w:style>
  <w:style w:type="character" w:styleId="Style7">
    <w:name w:val="Выделение"/>
    <w:uiPriority w:val="20"/>
    <w:qFormat/>
    <w:rsid w:val="00ac4ae8"/>
    <w:rPr>
      <w:b/>
      <w:bCs/>
      <w:i/>
      <w:iCs/>
      <w:color w:val="auto"/>
    </w:rPr>
  </w:style>
  <w:style w:type="character" w:styleId="22" w:customStyle="1">
    <w:name w:val="Цитата 2 Знак"/>
    <w:basedOn w:val="DefaultParagraphFont"/>
    <w:link w:val="21"/>
    <w:uiPriority w:val="29"/>
    <w:qFormat/>
    <w:rsid w:val="00ac4ae8"/>
    <w:rPr>
      <w:rFonts w:ascii="Calibri" w:hAnsi="Calibri" w:asciiTheme="minorHAnsi"/>
      <w:color w:val="5A5A5A" w:themeColor="text1" w:themeTint="a5"/>
    </w:rPr>
  </w:style>
  <w:style w:type="character" w:styleId="Style8" w:customStyle="1">
    <w:name w:val="Выделенная цитата Знак"/>
    <w:basedOn w:val="DefaultParagraphFont"/>
    <w:link w:val="ac"/>
    <w:uiPriority w:val="30"/>
    <w:qFormat/>
    <w:rsid w:val="00ac4ae8"/>
    <w:rPr>
      <w:rFonts w:ascii="Cambria" w:hAnsi="Cambria" w:eastAsia="" w:cs="" w:asciiTheme="majorHAnsi" w:cstheme="majorBidi" w:eastAsiaTheme="majorEastAsia" w:hAnsiTheme="majorHAnsi"/>
      <w:i/>
      <w:iCs/>
      <w:sz w:val="20"/>
      <w:szCs w:val="20"/>
    </w:rPr>
  </w:style>
  <w:style w:type="character" w:styleId="SubtleEmphasis">
    <w:name w:val="Subtle Emphasis"/>
    <w:uiPriority w:val="19"/>
    <w:qFormat/>
    <w:rsid w:val="00ac4ae8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ac4ae8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ac4ae8"/>
    <w:rPr>
      <w:smallCaps/>
    </w:rPr>
  </w:style>
  <w:style w:type="character" w:styleId="IntenseReference">
    <w:name w:val="Intense Reference"/>
    <w:uiPriority w:val="32"/>
    <w:qFormat/>
    <w:rsid w:val="00ac4ae8"/>
    <w:rPr>
      <w:b/>
      <w:bCs/>
      <w:smallCaps/>
      <w:color w:val="auto"/>
    </w:rPr>
  </w:style>
  <w:style w:type="character" w:styleId="BookTitle">
    <w:name w:val="Book Title"/>
    <w:uiPriority w:val="33"/>
    <w:qFormat/>
    <w:rsid w:val="00ac4ae8"/>
    <w:rPr>
      <w:rFonts w:ascii="Cambria" w:hAnsi="Cambria" w:eastAsia="" w:cs="" w:asciiTheme="majorHAnsi" w:cstheme="majorBidi" w:eastAsiaTheme="majorEastAsia" w:hAnsiTheme="majorHAnsi"/>
      <w:b/>
      <w:bCs/>
      <w:smallCaps/>
      <w:color w:val="auto"/>
      <w:u w:val="single"/>
    </w:rPr>
  </w:style>
  <w:style w:type="character" w:styleId="211pt" w:customStyle="1">
    <w:name w:val="Основной текст (2) + 11 pt"/>
    <w:basedOn w:val="DefaultParagraphFont"/>
    <w:qFormat/>
    <w:rsid w:val="00e4788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styleId="42" w:customStyle="1">
    <w:name w:val="Основной текст (4)_"/>
    <w:basedOn w:val="DefaultParagraphFont"/>
    <w:link w:val="42"/>
    <w:qFormat/>
    <w:rsid w:val="00e4788a"/>
    <w:rPr>
      <w:rFonts w:ascii="Times New Roman" w:hAnsi="Times New Roman" w:eastAsia="Times New Roman" w:cs="Times New Roman"/>
      <w:b/>
      <w:bCs/>
      <w:sz w:val="26"/>
      <w:szCs w:val="26"/>
      <w:shd w:fill="FFFFFF" w:val="clear"/>
    </w:rPr>
  </w:style>
  <w:style w:type="character" w:styleId="Style9" w:customStyle="1">
    <w:name w:val="Текст выноски Знак"/>
    <w:basedOn w:val="DefaultParagraphFont"/>
    <w:link w:val="af5"/>
    <w:uiPriority w:val="99"/>
    <w:semiHidden/>
    <w:qFormat/>
    <w:rsid w:val="00b76519"/>
    <w:rPr>
      <w:rFonts w:ascii="Tahoma" w:hAnsi="Tahoma" w:eastAsia="" w:cs="Tahoma" w:eastAsiaTheme="minorEastAsia"/>
      <w:sz w:val="16"/>
      <w:szCs w:val="16"/>
      <w:lang w:val="ru-RU" w:eastAsia="ru-RU" w:bidi="ar-SA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ohit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c4ae8"/>
    <w:pPr>
      <w:spacing w:lineRule="auto" w:line="480" w:before="0" w:after="240"/>
      <w:ind w:firstLine="360"/>
    </w:pPr>
    <w:rPr>
      <w:rFonts w:eastAsia="Calibri" w:eastAsiaTheme="minorHAnsi"/>
      <w:b/>
      <w:bCs/>
      <w:sz w:val="18"/>
      <w:szCs w:val="18"/>
      <w:lang w:val="en-US" w:eastAsia="en-US" w:bidi="en-US"/>
    </w:rPr>
  </w:style>
  <w:style w:type="paragraph" w:styleId="Style15">
    <w:name w:val="Title"/>
    <w:basedOn w:val="Normal"/>
    <w:next w:val="Normal"/>
    <w:link w:val="a5"/>
    <w:uiPriority w:val="10"/>
    <w:qFormat/>
    <w:rsid w:val="00ac4ae8"/>
    <w:pPr>
      <w:spacing w:lineRule="auto" w:line="240" w:before="0" w:after="240"/>
    </w:pPr>
    <w:rPr>
      <w:rFonts w:ascii="Cambria" w:hAnsi="Cambria" w:eastAsia="" w:cs="" w:asciiTheme="majorHAnsi" w:cstheme="majorBidi" w:eastAsiaTheme="majorEastAsia" w:hAnsiTheme="majorHAnsi"/>
      <w:b/>
      <w:bCs/>
      <w:i/>
      <w:iCs/>
      <w:spacing w:val="10"/>
      <w:sz w:val="60"/>
      <w:szCs w:val="60"/>
      <w:lang w:val="en-US" w:eastAsia="en-US" w:bidi="en-US"/>
    </w:rPr>
  </w:style>
  <w:style w:type="paragraph" w:styleId="Style16">
    <w:name w:val="Subtitle"/>
    <w:basedOn w:val="Normal"/>
    <w:next w:val="Normal"/>
    <w:link w:val="a7"/>
    <w:uiPriority w:val="11"/>
    <w:qFormat/>
    <w:rsid w:val="00ac4ae8"/>
    <w:pPr>
      <w:spacing w:lineRule="auto" w:line="480" w:before="0" w:after="320"/>
      <w:ind w:firstLine="360"/>
      <w:jc w:val="right"/>
    </w:pPr>
    <w:rPr>
      <w:rFonts w:eastAsia="Calibri" w:eastAsiaTheme="minorHAns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paragraph" w:styleId="NoSpacing">
    <w:name w:val="No Spacing"/>
    <w:basedOn w:val="Normal"/>
    <w:uiPriority w:val="1"/>
    <w:qFormat/>
    <w:rsid w:val="00ac4ae8"/>
    <w:pPr>
      <w:spacing w:lineRule="auto" w:line="240" w:before="0" w:after="0"/>
    </w:pPr>
    <w:rPr>
      <w:rFonts w:eastAsia="Calibri" w:eastAsiaTheme="minorHAnsi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ac4ae8"/>
    <w:pPr>
      <w:spacing w:lineRule="auto" w:line="480" w:before="0" w:after="240"/>
      <w:ind w:left="720" w:firstLine="360"/>
      <w:contextualSpacing/>
    </w:pPr>
    <w:rPr>
      <w:rFonts w:eastAsia="Calibri" w:eastAsiaTheme="minorHAnsi"/>
      <w:lang w:val="en-US" w:eastAsia="en-US" w:bidi="en-US"/>
    </w:rPr>
  </w:style>
  <w:style w:type="paragraph" w:styleId="Quote">
    <w:name w:val="Quote"/>
    <w:basedOn w:val="Normal"/>
    <w:next w:val="Normal"/>
    <w:link w:val="22"/>
    <w:uiPriority w:val="29"/>
    <w:qFormat/>
    <w:rsid w:val="00ac4ae8"/>
    <w:pPr>
      <w:spacing w:lineRule="auto" w:line="480" w:before="0" w:after="240"/>
      <w:ind w:firstLine="360"/>
    </w:pPr>
    <w:rPr>
      <w:rFonts w:eastAsia="Calibri" w:eastAsiaTheme="minorHAnsi"/>
      <w:color w:val="5A5A5A" w:themeColor="text1" w:themeTint="a5"/>
      <w:lang w:val="en-US" w:eastAsia="en-US" w:bidi="en-US"/>
    </w:rPr>
  </w:style>
  <w:style w:type="paragraph" w:styleId="IntenseQuote">
    <w:name w:val="Intense Quote"/>
    <w:basedOn w:val="Normal"/>
    <w:next w:val="Normal"/>
    <w:link w:val="ad"/>
    <w:uiPriority w:val="30"/>
    <w:qFormat/>
    <w:rsid w:val="00ac4ae8"/>
    <w:pPr>
      <w:spacing w:lineRule="auto" w:line="240" w:before="320" w:after="480"/>
      <w:ind w:left="720" w:right="720" w:hanging="0"/>
      <w:jc w:val="center"/>
    </w:pPr>
    <w:rPr>
      <w:rFonts w:ascii="Cambria" w:hAnsi="Cambria" w:eastAsia="" w:cs="" w:asciiTheme="majorHAnsi" w:cstheme="majorBidi" w:eastAsiaTheme="majorEastAsia" w:hAnsiTheme="majorHAnsi"/>
      <w:i/>
      <w:iCs/>
      <w:sz w:val="20"/>
      <w:szCs w:val="20"/>
      <w:lang w:val="en-US" w:eastAsia="en-US" w:bidi="en-US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ac4ae8"/>
    <w:pPr/>
    <w:rPr/>
  </w:style>
  <w:style w:type="paragraph" w:styleId="43" w:customStyle="1">
    <w:name w:val="Основной текст (4)"/>
    <w:basedOn w:val="Normal"/>
    <w:link w:val="41"/>
    <w:qFormat/>
    <w:rsid w:val="00e4788a"/>
    <w:pPr>
      <w:widowControl w:val="false"/>
      <w:shd w:val="clear" w:color="auto" w:fill="FFFFFF"/>
      <w:spacing w:lineRule="exact" w:line="304" w:before="720" w:after="240"/>
      <w:jc w:val="center"/>
    </w:pPr>
    <w:rPr>
      <w:rFonts w:ascii="Times New Roman" w:hAnsi="Times New Roman" w:eastAsia="Times New Roman" w:cs="Times New Roman"/>
      <w:b/>
      <w:bCs/>
      <w:sz w:val="26"/>
      <w:szCs w:val="26"/>
      <w:lang w:val="en-US" w:eastAsia="en-US" w:bidi="en-US"/>
    </w:rPr>
  </w:style>
  <w:style w:type="paragraph" w:styleId="BalloonText">
    <w:name w:val="Balloon Text"/>
    <w:basedOn w:val="Normal"/>
    <w:link w:val="af6"/>
    <w:uiPriority w:val="99"/>
    <w:semiHidden/>
    <w:unhideWhenUsed/>
    <w:qFormat/>
    <w:rsid w:val="00b7651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Верхний и нижний колонтитулы"/>
    <w:basedOn w:val="Normal"/>
    <w:qFormat/>
    <w:pPr>
      <w:suppressLineNumbers/>
      <w:tabs>
        <w:tab w:val="clear" w:pos="708"/>
        <w:tab w:val="center" w:pos="7285" w:leader="none"/>
        <w:tab w:val="right" w:pos="14570" w:leader="none"/>
      </w:tabs>
    </w:pPr>
    <w:rPr/>
  </w:style>
  <w:style w:type="paragraph" w:styleId="Style18">
    <w:name w:val="Header"/>
    <w:basedOn w:val="Style17"/>
    <w:pPr>
      <w:suppressLineNumbers/>
    </w:pPr>
    <w:rPr/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e4788a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Application>LibreOffice/6.4.6.2$Linux_X86_64 LibreOffice_project/40$Build-2</Application>
  <Pages>13</Pages>
  <Words>2193</Words>
  <Characters>15729</Characters>
  <CharactersWithSpaces>17732</CharactersWithSpaces>
  <Paragraphs>280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2018-10-05T11:20:00Z</dcterms:created>
  <dc:creator>1</dc:creator>
  <dc:description/>
  <dc:language>ru-RU</dc:language>
  <cp:lastModifiedBy/>
  <cp:lastPrinted>2022-12-01T13:47:37Z</cp:lastPrinted>
  <dcterms:modified xsi:type="dcterms:W3CDTF">2023-01-23T10:33:35Z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